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eastAsia="仿宋"/>
          <w:sz w:val="32"/>
          <w:szCs w:val="32"/>
        </w:rPr>
      </w:pPr>
      <w:r>
        <w:rPr>
          <w:rFonts w:eastAsia="黑体"/>
          <w:sz w:val="32"/>
          <w:szCs w:val="32"/>
        </w:rPr>
        <w:t>附件</w:t>
      </w:r>
      <w:r>
        <w:rPr>
          <w:rFonts w:hint="eastAsia" w:eastAsia="黑体"/>
          <w:sz w:val="32"/>
          <w:szCs w:val="32"/>
        </w:rPr>
        <w:t>5</w:t>
      </w:r>
      <w:r>
        <w:rPr>
          <w:rFonts w:eastAsia="黑体"/>
          <w:sz w:val="32"/>
          <w:szCs w:val="32"/>
        </w:rPr>
        <w:t xml:space="preserve"> </w:t>
      </w:r>
      <w:r>
        <w:rPr>
          <w:rFonts w:eastAsia="仿宋"/>
          <w:sz w:val="32"/>
          <w:szCs w:val="32"/>
        </w:rPr>
        <w:t xml:space="preserve"> </w:t>
      </w:r>
    </w:p>
    <w:p>
      <w:pPr>
        <w:widowControl/>
        <w:spacing w:line="60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ascii="方正小标宋简体" w:hAnsi="方正小标宋简体" w:eastAsia="方正小标宋简体" w:cs="方正小标宋简体"/>
          <w:sz w:val="44"/>
          <w:szCs w:val="44"/>
        </w:rPr>
        <w:t>四川省高等教育自学考试考生参考须知</w:t>
      </w:r>
    </w:p>
    <w:p>
      <w:pPr>
        <w:ind w:firstLine="640" w:firstLineChars="200"/>
        <w:jc w:val="left"/>
        <w:rPr>
          <w:rFonts w:eastAsia="仿宋"/>
          <w:sz w:val="32"/>
          <w:szCs w:val="32"/>
        </w:rPr>
      </w:pPr>
      <w:r>
        <w:rPr>
          <w:rFonts w:eastAsia="仿宋"/>
          <w:sz w:val="32"/>
          <w:szCs w:val="32"/>
        </w:rPr>
        <w:t>1.考生持准考证、有效居民身份证在规定时间内参加考试。如考试前遗失有效居民身份证，可到公安机关办理有效临时居民身份证参加考试。</w:t>
      </w:r>
    </w:p>
    <w:p>
      <w:pPr>
        <w:ind w:firstLine="640" w:firstLineChars="200"/>
        <w:rPr>
          <w:rFonts w:eastAsia="仿宋"/>
          <w:sz w:val="32"/>
          <w:szCs w:val="32"/>
        </w:rPr>
      </w:pPr>
      <w:r>
        <w:rPr>
          <w:rFonts w:hint="eastAsia" w:eastAsia="仿宋"/>
          <w:sz w:val="32"/>
          <w:szCs w:val="32"/>
        </w:rPr>
        <w:t>2</w:t>
      </w:r>
      <w:r>
        <w:rPr>
          <w:rFonts w:eastAsia="仿宋"/>
          <w:sz w:val="32"/>
          <w:szCs w:val="32"/>
        </w:rPr>
        <w:t>.</w:t>
      </w:r>
      <w:r>
        <w:rPr>
          <w:rFonts w:eastAsia="仿宋"/>
          <w:w w:val="95"/>
          <w:sz w:val="32"/>
          <w:szCs w:val="32"/>
        </w:rPr>
        <w:t>考试开始15分钟后，迟到考生不得进入考点参加当次科目考试。考试结束前30分钟，考生方可交卷离开考场。</w:t>
      </w:r>
      <w:r>
        <w:rPr>
          <w:rFonts w:hint="eastAsia" w:eastAsia="仿宋"/>
          <w:w w:val="95"/>
          <w:sz w:val="32"/>
          <w:szCs w:val="32"/>
        </w:rPr>
        <w:t>考试结束后，考生应有序、迅速离场，不得在考点内聚集、逗留。</w:t>
      </w:r>
    </w:p>
    <w:p>
      <w:pPr>
        <w:ind w:firstLine="640" w:firstLineChars="200"/>
        <w:rPr>
          <w:rFonts w:eastAsia="仿宋"/>
          <w:sz w:val="32"/>
          <w:szCs w:val="32"/>
        </w:rPr>
      </w:pPr>
      <w:r>
        <w:rPr>
          <w:rFonts w:hint="eastAsia" w:eastAsia="仿宋"/>
          <w:sz w:val="32"/>
          <w:szCs w:val="32"/>
        </w:rPr>
        <w:t>3</w:t>
      </w:r>
      <w:r>
        <w:rPr>
          <w:rFonts w:eastAsia="仿宋"/>
          <w:sz w:val="32"/>
          <w:szCs w:val="32"/>
        </w:rPr>
        <w:t>.考生须自觉遵守考场纪律，对考试作弊的考生，将严格按照《国家教育考试违规处理办法》（教育部令33号）和《中华人民共和国刑法修正案（九）》中规定接受有关部门的处理。</w:t>
      </w:r>
    </w:p>
    <w:p>
      <w:pPr>
        <w:ind w:firstLine="640" w:firstLineChars="200"/>
        <w:rPr>
          <w:rFonts w:eastAsia="仿宋"/>
          <w:sz w:val="32"/>
          <w:szCs w:val="32"/>
        </w:rPr>
      </w:pPr>
      <w:r>
        <w:rPr>
          <w:rFonts w:hint="eastAsia" w:eastAsia="仿宋"/>
          <w:sz w:val="32"/>
          <w:szCs w:val="32"/>
        </w:rPr>
        <w:t>4</w:t>
      </w:r>
      <w:r>
        <w:rPr>
          <w:rFonts w:eastAsia="仿宋"/>
          <w:sz w:val="32"/>
          <w:szCs w:val="32"/>
        </w:rPr>
        <w:t>.考生必须携带好2B铅笔、0.5毫米的黑色字迹签字笔作答，其余允许携带的答题辅助用品见下表。禁止携带考试规定以外的物品（</w:t>
      </w:r>
      <w:r>
        <w:rPr>
          <w:rFonts w:eastAsia="仿宋"/>
          <w:b/>
          <w:bCs/>
          <w:sz w:val="32"/>
          <w:szCs w:val="32"/>
        </w:rPr>
        <w:t>无线耳机、有存储功能的计算器、手机等</w:t>
      </w:r>
      <w:r>
        <w:rPr>
          <w:rFonts w:eastAsia="仿宋"/>
          <w:sz w:val="32"/>
          <w:szCs w:val="32"/>
        </w:rPr>
        <w:t>）进入考场，否则按违纪舞弊处理。</w:t>
      </w:r>
    </w:p>
    <w:tbl>
      <w:tblPr>
        <w:tblStyle w:val="2"/>
        <w:tblpPr w:leftFromText="180" w:rightFromText="180" w:vertAnchor="text" w:horzAnchor="page" w:tblpX="1875" w:tblpY="27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4"/>
        <w:gridCol w:w="3021"/>
        <w:gridCol w:w="33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1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216" w:lineRule="auto"/>
              <w:jc w:val="center"/>
              <w:rPr>
                <w:rFonts w:eastAsia="仿宋_GB2312"/>
                <w:b/>
                <w:bCs/>
                <w:kern w:val="2"/>
                <w:sz w:val="28"/>
                <w:szCs w:val="28"/>
              </w:rPr>
            </w:pPr>
            <w:r>
              <w:rPr>
                <w:rFonts w:eastAsia="仿宋_GB2312"/>
                <w:b/>
                <w:bCs/>
                <w:kern w:val="2"/>
                <w:sz w:val="28"/>
                <w:szCs w:val="28"/>
              </w:rPr>
              <w:t>专  业</w:t>
            </w:r>
          </w:p>
        </w:tc>
        <w:tc>
          <w:tcPr>
            <w:tcW w:w="3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216" w:lineRule="auto"/>
              <w:jc w:val="center"/>
              <w:rPr>
                <w:rFonts w:eastAsia="仿宋_GB2312"/>
                <w:b/>
                <w:bCs/>
                <w:kern w:val="2"/>
                <w:sz w:val="28"/>
                <w:szCs w:val="28"/>
              </w:rPr>
            </w:pPr>
            <w:r>
              <w:rPr>
                <w:rFonts w:eastAsia="仿宋_GB2312"/>
                <w:b/>
                <w:bCs/>
                <w:kern w:val="2"/>
                <w:sz w:val="28"/>
                <w:szCs w:val="28"/>
              </w:rPr>
              <w:t>课    程</w:t>
            </w:r>
          </w:p>
        </w:tc>
        <w:tc>
          <w:tcPr>
            <w:tcW w:w="3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216" w:lineRule="auto"/>
              <w:jc w:val="center"/>
              <w:rPr>
                <w:rFonts w:eastAsia="仿宋_GB2312"/>
                <w:b/>
                <w:bCs/>
                <w:kern w:val="2"/>
                <w:sz w:val="28"/>
                <w:szCs w:val="28"/>
              </w:rPr>
            </w:pPr>
            <w:r>
              <w:rPr>
                <w:rFonts w:eastAsia="仿宋_GB2312"/>
                <w:b/>
                <w:bCs/>
                <w:kern w:val="2"/>
                <w:sz w:val="28"/>
                <w:szCs w:val="28"/>
              </w:rPr>
              <w:t>允许携带工具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1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204" w:lineRule="auto"/>
              <w:jc w:val="center"/>
              <w:rPr>
                <w:rFonts w:eastAsia="仿宋_GB2312"/>
                <w:bCs/>
                <w:kern w:val="2"/>
                <w:sz w:val="28"/>
                <w:szCs w:val="28"/>
              </w:rPr>
            </w:pPr>
            <w:r>
              <w:rPr>
                <w:rFonts w:eastAsia="仿宋_GB2312"/>
                <w:bCs/>
                <w:kern w:val="2"/>
                <w:sz w:val="28"/>
                <w:szCs w:val="28"/>
              </w:rPr>
              <w:t>理、工 科</w:t>
            </w:r>
          </w:p>
          <w:p>
            <w:pPr>
              <w:snapToGrid w:val="0"/>
              <w:spacing w:line="204" w:lineRule="auto"/>
              <w:jc w:val="center"/>
              <w:rPr>
                <w:rFonts w:eastAsia="仿宋_GB2312"/>
                <w:bCs/>
                <w:kern w:val="2"/>
                <w:sz w:val="28"/>
                <w:szCs w:val="28"/>
              </w:rPr>
            </w:pPr>
            <w:r>
              <w:rPr>
                <w:rFonts w:eastAsia="仿宋_GB2312"/>
                <w:bCs/>
                <w:kern w:val="2"/>
                <w:sz w:val="28"/>
                <w:szCs w:val="28"/>
              </w:rPr>
              <w:t>专   业</w:t>
            </w:r>
          </w:p>
        </w:tc>
        <w:tc>
          <w:tcPr>
            <w:tcW w:w="3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204" w:lineRule="auto"/>
              <w:jc w:val="center"/>
              <w:rPr>
                <w:rFonts w:eastAsia="仿宋_GB2312"/>
                <w:bCs/>
                <w:kern w:val="2"/>
                <w:sz w:val="28"/>
                <w:szCs w:val="28"/>
              </w:rPr>
            </w:pPr>
            <w:r>
              <w:rPr>
                <w:rFonts w:eastAsia="仿宋_GB2312"/>
                <w:bCs/>
                <w:kern w:val="2"/>
                <w:sz w:val="28"/>
                <w:szCs w:val="28"/>
              </w:rPr>
              <w:t>所有课程</w:t>
            </w:r>
          </w:p>
        </w:tc>
        <w:tc>
          <w:tcPr>
            <w:tcW w:w="3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204" w:lineRule="auto"/>
              <w:jc w:val="center"/>
              <w:rPr>
                <w:rFonts w:eastAsia="仿宋_GB2312"/>
                <w:bCs/>
                <w:kern w:val="2"/>
                <w:sz w:val="28"/>
                <w:szCs w:val="28"/>
              </w:rPr>
            </w:pPr>
            <w:r>
              <w:rPr>
                <w:rFonts w:eastAsia="仿宋_GB2312"/>
                <w:bCs/>
                <w:kern w:val="2"/>
                <w:sz w:val="28"/>
                <w:szCs w:val="28"/>
              </w:rPr>
              <w:t>计算器（无存储功能）</w:t>
            </w:r>
          </w:p>
          <w:p>
            <w:pPr>
              <w:snapToGrid w:val="0"/>
              <w:spacing w:line="204" w:lineRule="auto"/>
              <w:jc w:val="center"/>
              <w:rPr>
                <w:rFonts w:eastAsia="仿宋_GB2312"/>
                <w:bCs/>
                <w:kern w:val="2"/>
                <w:sz w:val="28"/>
                <w:szCs w:val="28"/>
              </w:rPr>
            </w:pPr>
            <w:r>
              <w:rPr>
                <w:rFonts w:eastAsia="仿宋_GB2312"/>
                <w:bCs/>
                <w:kern w:val="2"/>
                <w:sz w:val="28"/>
                <w:szCs w:val="28"/>
              </w:rPr>
              <w:t>绘图工具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9" w:hRule="atLeast"/>
        </w:trPr>
        <w:tc>
          <w:tcPr>
            <w:tcW w:w="212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204" w:lineRule="auto"/>
              <w:jc w:val="center"/>
              <w:rPr>
                <w:rFonts w:eastAsia="仿宋_GB2312"/>
                <w:bCs/>
                <w:kern w:val="2"/>
                <w:sz w:val="28"/>
                <w:szCs w:val="28"/>
              </w:rPr>
            </w:pPr>
            <w:r>
              <w:rPr>
                <w:rFonts w:eastAsia="仿宋_GB2312"/>
                <w:bCs/>
                <w:kern w:val="2"/>
                <w:sz w:val="28"/>
                <w:szCs w:val="28"/>
              </w:rPr>
              <w:t>文   科</w:t>
            </w:r>
          </w:p>
          <w:p>
            <w:pPr>
              <w:snapToGrid w:val="0"/>
              <w:spacing w:line="204" w:lineRule="auto"/>
              <w:jc w:val="center"/>
              <w:rPr>
                <w:rFonts w:eastAsia="仿宋_GB2312"/>
                <w:bCs/>
                <w:kern w:val="2"/>
                <w:sz w:val="28"/>
                <w:szCs w:val="28"/>
              </w:rPr>
            </w:pPr>
            <w:r>
              <w:rPr>
                <w:rFonts w:eastAsia="仿宋_GB2312"/>
                <w:bCs/>
                <w:kern w:val="2"/>
                <w:sz w:val="28"/>
                <w:szCs w:val="28"/>
              </w:rPr>
              <w:t>专   业</w:t>
            </w:r>
          </w:p>
        </w:tc>
        <w:tc>
          <w:tcPr>
            <w:tcW w:w="3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204" w:lineRule="auto"/>
              <w:jc w:val="center"/>
              <w:rPr>
                <w:rFonts w:eastAsia="仿宋_GB2312"/>
                <w:bCs/>
                <w:kern w:val="2"/>
                <w:sz w:val="28"/>
                <w:szCs w:val="28"/>
              </w:rPr>
            </w:pPr>
            <w:r>
              <w:rPr>
                <w:rFonts w:eastAsia="仿宋_GB2312"/>
                <w:bCs/>
                <w:kern w:val="2"/>
                <w:sz w:val="28"/>
                <w:szCs w:val="28"/>
              </w:rPr>
              <w:t xml:space="preserve"> “英语翻译”</w:t>
            </w:r>
          </w:p>
          <w:p>
            <w:pPr>
              <w:snapToGrid w:val="0"/>
              <w:spacing w:line="204" w:lineRule="auto"/>
              <w:jc w:val="center"/>
              <w:rPr>
                <w:rFonts w:eastAsia="仿宋_GB2312"/>
                <w:bCs/>
                <w:kern w:val="2"/>
                <w:sz w:val="28"/>
                <w:szCs w:val="28"/>
              </w:rPr>
            </w:pPr>
            <w:r>
              <w:rPr>
                <w:rFonts w:eastAsia="仿宋_GB2312"/>
                <w:bCs/>
                <w:kern w:val="2"/>
                <w:sz w:val="28"/>
                <w:szCs w:val="28"/>
              </w:rPr>
              <w:t>（课程代码00087）</w:t>
            </w:r>
          </w:p>
        </w:tc>
        <w:tc>
          <w:tcPr>
            <w:tcW w:w="331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204" w:lineRule="auto"/>
              <w:jc w:val="center"/>
              <w:rPr>
                <w:rFonts w:eastAsia="仿宋_GB2312"/>
                <w:bCs/>
                <w:kern w:val="2"/>
                <w:sz w:val="28"/>
                <w:szCs w:val="28"/>
              </w:rPr>
            </w:pPr>
            <w:r>
              <w:rPr>
                <w:rFonts w:eastAsia="仿宋_GB2312"/>
                <w:bCs/>
                <w:kern w:val="2"/>
                <w:sz w:val="28"/>
                <w:szCs w:val="28"/>
              </w:rPr>
              <w:t>字、辞典（印刷品）</w:t>
            </w:r>
          </w:p>
        </w:tc>
      </w:tr>
    </w:tbl>
    <w:p>
      <w:pPr>
        <w:ind w:firstLine="640" w:firstLineChars="200"/>
        <w:rPr>
          <w:rFonts w:eastAsia="仿宋"/>
          <w:sz w:val="32"/>
          <w:szCs w:val="32"/>
        </w:rPr>
      </w:pPr>
      <w:r>
        <w:rPr>
          <w:rFonts w:hint="eastAsia" w:eastAsia="仿宋"/>
          <w:sz w:val="32"/>
          <w:szCs w:val="32"/>
        </w:rPr>
        <w:t>5</w:t>
      </w:r>
      <w:r>
        <w:rPr>
          <w:rFonts w:eastAsia="仿宋"/>
          <w:sz w:val="32"/>
          <w:szCs w:val="32"/>
        </w:rPr>
        <w:t>.考生入场后，要按号入座，将本人《准考证》和有效居民身份证件放在课桌上以便核验。考生领到答题卡和试题卷后，应在指定位置和规定的时间内准确清楚地填写（涂）姓名、课程代码、准考证号、考生笔迹确认栏、座位号等栏目。凡漏填、错填或字迹不清的答题卡无效。如遇试题卷、答题卡分发错误或试题字迹不清等问题，可举手询问；涉及试题内容的疑问，不得向监考员询问。</w:t>
      </w:r>
    </w:p>
    <w:p>
      <w:r>
        <w:rPr>
          <w:rFonts w:hint="eastAsia" w:eastAsia="仿宋"/>
          <w:sz w:val="32"/>
          <w:szCs w:val="32"/>
        </w:rPr>
        <w:t>6</w:t>
      </w:r>
      <w:r>
        <w:rPr>
          <w:rFonts w:eastAsia="仿宋"/>
          <w:sz w:val="32"/>
          <w:szCs w:val="32"/>
        </w:rPr>
        <w:t>.试卷非选择题部分请在答题卡答题区域内按题号顺序作答，超出答题区域的答案无效，严禁使用涂改液和修正带。《四川省高等教育自学考试考生答题须知》见省教育考试院官网链接（网址：</w:t>
      </w:r>
      <w:r>
        <w:fldChar w:fldCharType="begin"/>
      </w:r>
      <w:r>
        <w:instrText xml:space="preserve"> HYPERLINK "https://www.sceea.cn/Html/201702/Newsdetail_371.html）。" </w:instrText>
      </w:r>
      <w:r>
        <w:fldChar w:fldCharType="separate"/>
      </w:r>
      <w:r>
        <w:rPr>
          <w:rFonts w:eastAsia="仿宋"/>
          <w:sz w:val="32"/>
          <w:szCs w:val="32"/>
        </w:rPr>
        <w:t>https://www.sceea.cn/Html/201702/Newsdetail_371.html）。</w:t>
      </w:r>
      <w:r>
        <w:rPr>
          <w:rFonts w:eastAsia="仿宋"/>
          <w:sz w:val="32"/>
          <w:szCs w:val="32"/>
        </w:rPr>
        <w:fldChar w:fldCharType="end"/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4ZDZjYjhmZDE0YmMyNjg2ZTQwOWVjYmNiMjJlNzEifQ=="/>
  </w:docVars>
  <w:rsids>
    <w:rsidRoot w:val="0E7E05A2"/>
    <w:rsid w:val="0E7E0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